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11</w:t>
      </w:r>
      <w:r>
        <w:rPr>
          <w:rFonts w:hint="eastAsia" w:ascii="Arial" w:hAnsi="Arial" w:cs="Arial"/>
          <w:b/>
          <w:bCs/>
          <w:snapToGrid w:val="0"/>
          <w:kern w:val="0"/>
          <w:sz w:val="24"/>
        </w:rPr>
        <w:t>6e</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R2-21</w:t>
      </w:r>
      <w:r>
        <w:rPr>
          <w:rFonts w:hint="eastAsia" w:ascii="Arial" w:hAnsi="Arial" w:cs="Arial"/>
          <w:b/>
          <w:bCs/>
          <w:snapToGrid w:val="0"/>
          <w:kern w:val="0"/>
          <w:sz w:val="24"/>
          <w:lang w:val="en-US" w:eastAsia="zh-CN"/>
        </w:rPr>
        <w:t>10618</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hint="eastAsia" w:ascii="Arial" w:hAnsi="Arial" w:cs="Arial"/>
          <w:b/>
          <w:bCs/>
          <w:kern w:val="0"/>
          <w:sz w:val="24"/>
        </w:rPr>
        <w:t xml:space="preserve">Electronic, </w:t>
      </w:r>
      <w:r>
        <w:rPr>
          <w:rFonts w:hint="eastAsia" w:ascii="Arial" w:hAnsi="Arial" w:cs="Arial"/>
          <w:b/>
          <w:bCs/>
          <w:kern w:val="0"/>
          <w:sz w:val="24"/>
          <w:lang w:val="en-US" w:eastAsia="zh-CN"/>
        </w:rPr>
        <w:t>1</w:t>
      </w:r>
      <w:r>
        <w:rPr>
          <w:rFonts w:hint="eastAsia" w:ascii="Arial" w:hAnsi="Arial" w:cs="Arial"/>
          <w:b/>
          <w:bCs/>
          <w:kern w:val="0"/>
          <w:sz w:val="24"/>
          <w:vertAlign w:val="superscript"/>
          <w:lang w:val="en-US" w:eastAsia="zh-CN"/>
        </w:rPr>
        <w:t>st</w:t>
      </w:r>
      <w:r>
        <w:rPr>
          <w:rFonts w:hint="eastAsia" w:ascii="Arial" w:hAnsi="Arial" w:cs="Arial"/>
          <w:b/>
          <w:bCs/>
          <w:kern w:val="0"/>
          <w:sz w:val="24"/>
          <w:lang w:val="en-US" w:eastAsia="zh-CN"/>
        </w:rPr>
        <w:t xml:space="preserve"> Nov</w:t>
      </w:r>
      <w:r>
        <w:rPr>
          <w:rFonts w:hint="eastAsia" w:ascii="Arial" w:hAnsi="Arial" w:cs="Arial"/>
          <w:b/>
          <w:bCs/>
          <w:kern w:val="0"/>
          <w:sz w:val="24"/>
        </w:rPr>
        <w:t xml:space="preserve"> - </w:t>
      </w:r>
      <w:r>
        <w:rPr>
          <w:rFonts w:hint="eastAsia" w:ascii="Arial" w:hAnsi="Arial" w:cs="Arial"/>
          <w:b/>
          <w:bCs/>
          <w:kern w:val="0"/>
          <w:sz w:val="24"/>
          <w:lang w:val="en-US" w:eastAsia="zh-CN"/>
        </w:rPr>
        <w:t>12</w:t>
      </w:r>
      <w:r>
        <w:rPr>
          <w:rFonts w:hint="eastAsia" w:ascii="Arial" w:hAnsi="Arial" w:cs="Arial"/>
          <w:b/>
          <w:bCs/>
          <w:kern w:val="0"/>
          <w:sz w:val="24"/>
          <w:vertAlign w:val="superscript"/>
        </w:rPr>
        <w:t>th</w:t>
      </w:r>
      <w:r>
        <w:rPr>
          <w:rFonts w:hint="eastAsia" w:ascii="Arial" w:hAnsi="Arial" w:cs="Arial"/>
          <w:b/>
          <w:bCs/>
          <w:kern w:val="0"/>
          <w:sz w:val="24"/>
        </w:rPr>
        <w:t xml:space="preserve"> </w:t>
      </w:r>
      <w:r>
        <w:rPr>
          <w:rFonts w:hint="eastAsia" w:ascii="Arial" w:hAnsi="Arial" w:cs="Arial"/>
          <w:b/>
          <w:bCs/>
          <w:kern w:val="0"/>
          <w:sz w:val="24"/>
          <w:lang w:val="en-US" w:eastAsia="zh-CN"/>
        </w:rPr>
        <w:t>Nov</w:t>
      </w:r>
      <w:r>
        <w:rPr>
          <w:rFonts w:ascii="Arial" w:hAnsi="Arial" w:cs="Arial"/>
          <w:b/>
          <w:bCs/>
          <w:kern w:val="0"/>
          <w:sz w:val="24"/>
        </w:rPr>
        <w:t xml:space="preserve"> </w:t>
      </w:r>
      <w:r>
        <w:rPr>
          <w:rFonts w:hint="eastAsia" w:ascii="Arial" w:hAnsi="Arial" w:cs="Arial"/>
          <w:b/>
          <w:bCs/>
          <w:kern w:val="0"/>
          <w:sz w:val="24"/>
        </w:rPr>
        <w:t>2021</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line="240" w:lineRule="auto"/>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 xml:space="preserve">Remaining Issues on Supporting CN assigned Subgrouping </w:t>
      </w:r>
    </w:p>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ascii="Arial" w:hAnsi="Arial" w:cs="Arial"/>
          <w:b/>
          <w:bCs/>
          <w:snapToGrid w:val="0"/>
          <w:kern w:val="0"/>
          <w:sz w:val="24"/>
        </w:rPr>
        <w:t>8.9.2</w:t>
      </w:r>
      <w:r>
        <w:rPr>
          <w:rFonts w:hint="eastAsia" w:ascii="Arial" w:hAnsi="Arial" w:cs="Arial"/>
          <w:b/>
          <w:bCs/>
          <w:snapToGrid w:val="0"/>
          <w:kern w:val="0"/>
          <w:sz w:val="24"/>
          <w:lang w:val="en-US" w:eastAsia="zh-CN"/>
        </w:rPr>
        <w:t>.1</w:t>
      </w:r>
      <w:bookmarkStart w:id="5" w:name="_GoBack"/>
      <w:bookmarkEnd w:id="5"/>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line="240" w:lineRule="auto"/>
        <w:jc w:val="left"/>
        <w:rPr>
          <w:rFonts w:hint="default"/>
          <w:sz w:val="20"/>
          <w:szCs w:val="20"/>
          <w:lang w:val="en-US" w:eastAsia="zh-CN"/>
        </w:rPr>
      </w:pPr>
      <w:r>
        <w:rPr>
          <w:rFonts w:hint="eastAsia"/>
          <w:sz w:val="20"/>
          <w:szCs w:val="20"/>
          <w:lang w:val="en-US" w:eastAsia="zh-CN"/>
        </w:rPr>
        <w:t xml:space="preserve">In RAN2 #114 emeeting, the CN assigned subgrouping is determined as a subgrouping method apart from the UE ID based subgrouping, and in RAN2#115 emeeting, the direct CN assigned subgroup is emerging from three possible ways because of the less-complexity. Hence, for support the direct CN assigned subgroup, the corporation between different WGs and the signaling with diverse interface is needed. The intention of this contribution is to share our views on how to make CN assigned subgrouping work in the corporation among different WGs.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pPr>
      <w:r>
        <w:rPr>
          <w:rFonts w:ascii="Arial" w:hAnsi="Arial" w:cs="Arial"/>
          <w:b w:val="0"/>
          <w:bCs w:val="0"/>
          <w:kern w:val="0"/>
          <w:sz w:val="32"/>
          <w:szCs w:val="36"/>
        </w:rPr>
        <w:t>Discussion</w:t>
      </w:r>
      <w:bookmarkStart w:id="2" w:name="_Toc12718547"/>
    </w:p>
    <w:p>
      <w:pPr>
        <w:rPr>
          <w:rFonts w:hint="eastAsia"/>
          <w:u w:val="single"/>
          <w:lang w:val="en-US" w:eastAsia="zh-CN"/>
        </w:rPr>
      </w:pPr>
      <w:r>
        <w:rPr>
          <w:rFonts w:hint="eastAsia"/>
          <w:u w:val="single"/>
          <w:lang w:val="en-US" w:eastAsia="zh-CN"/>
        </w:rPr>
        <w:t>Issue 1: Assistance information for AMF to assign UE with a subgroup</w:t>
      </w:r>
    </w:p>
    <w:p>
      <w:pPr>
        <w:bidi w:val="0"/>
        <w:rPr>
          <w:rFonts w:hint="eastAsia"/>
          <w:lang w:val="en-US" w:eastAsia="zh-CN"/>
        </w:rPr>
      </w:pPr>
      <w:r>
        <w:rPr>
          <w:rFonts w:hint="eastAsia"/>
          <w:lang w:val="en-US" w:eastAsia="zh-CN"/>
        </w:rPr>
        <w:t>For this issue, it has been discussed in [1], but there is no any consensus reached during the offline discussion Considering the CN assigned subgroup is based on the UE attribution, and in LTE, the GWUS is also working based on the UE attribution (i.e paging probability), we think the GWUS mechanism in LTE can be a reference.</w:t>
      </w:r>
    </w:p>
    <w:p>
      <w:pPr>
        <w:bidi w:val="0"/>
        <w:rPr>
          <w:rFonts w:hint="eastAsia"/>
          <w:lang w:val="en-US" w:eastAsia="zh-CN"/>
        </w:rPr>
      </w:pPr>
      <w:r>
        <w:rPr>
          <w:rFonts w:hint="eastAsia"/>
          <w:lang w:val="en-US" w:eastAsia="zh-CN"/>
        </w:rPr>
        <w:t xml:space="preserve">For supporting GWUS in LTE, the WUS Assistance information is defined for AMF to assign the UE with the paging probability information. Before reception of the WUS assistance information from AMF, UE need to include a parameter [paging probability] in the registration request message to AMF if support the WUS Assistance information assignment. </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bidi w:val="0"/>
              <w:rPr>
                <w:rFonts w:hint="eastAsia"/>
                <w:vertAlign w:val="baseline"/>
                <w:lang w:val="en-US" w:eastAsia="zh-CN"/>
              </w:rPr>
            </w:pPr>
            <w:r>
              <w:rPr>
                <w:rFonts w:hint="eastAsia"/>
                <w:vertAlign w:val="baseline"/>
                <w:lang w:val="en-US" w:eastAsia="zh-CN"/>
              </w:rPr>
              <w:t>TS 23.502</w:t>
            </w:r>
          </w:p>
          <w:p>
            <w:pPr>
              <w:bidi w:val="0"/>
            </w:pPr>
            <w:r>
              <w:rPr>
                <w:lang w:eastAsia="zh-CN"/>
              </w:rPr>
              <w:t xml:space="preserve">UE to (R)AN: AN message (AN parameters, </w:t>
            </w:r>
            <w:r>
              <w:t xml:space="preserve">Registration Request (Registration type, SUCI or </w:t>
            </w:r>
            <w:r>
              <w:rPr>
                <w:lang w:eastAsia="zh-CN"/>
              </w:rPr>
              <w:t>5G-GUTI or PEI</w:t>
            </w:r>
            <w: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w:t>
            </w:r>
            <w:r>
              <w:rPr>
                <w:highlight w:val="yellow"/>
              </w:rPr>
              <w:t>[UE paging probability information]</w:t>
            </w:r>
            <w:r>
              <w:t>, [UE Policy Container (the list of PSIs, indication of UE support for ANDSP and the operating system identifier)] and [UE Radio Capability ID], PEI)).</w:t>
            </w:r>
          </w:p>
          <w:p>
            <w:pPr>
              <w:bidi w:val="0"/>
              <w:rPr>
                <w:rFonts w:hint="eastAsia"/>
                <w:lang w:val="en-US" w:eastAsia="zh-CN"/>
              </w:rPr>
            </w:pPr>
            <w:r>
              <w:rPr>
                <w:rFonts w:hint="eastAsia"/>
                <w:lang w:val="en-US" w:eastAsia="zh-CN"/>
              </w:rPr>
              <w:t>/*omit for short*/</w:t>
            </w:r>
          </w:p>
          <w:p>
            <w:pPr>
              <w:bidi w:val="0"/>
              <w:rPr>
                <w:rFonts w:hint="default"/>
                <w:lang w:val="en-US" w:eastAsia="zh-CN"/>
              </w:rPr>
            </w:pPr>
            <w:r>
              <w:rPr>
                <w:highlight w:val="yellow"/>
              </w:rPr>
              <w:t>The UE may include UE paging probability information if it supports the assignment of WUS Assistance Information from the AMF (see TS 23.501 [2]).</w:t>
            </w:r>
          </w:p>
        </w:tc>
      </w:tr>
    </w:tbl>
    <w:p>
      <w:pPr>
        <w:bidi w:val="0"/>
        <w:rPr>
          <w:rFonts w:hint="eastAsia"/>
          <w:lang w:val="en-US" w:eastAsia="zh-CN"/>
        </w:rPr>
      </w:pPr>
      <w:r>
        <w:rPr>
          <w:rFonts w:hint="eastAsia"/>
          <w:lang w:val="en-US" w:eastAsia="zh-CN"/>
        </w:rPr>
        <w:t>And for AMF:</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Style w:val="5"/>
              <w:numPr>
                <w:ilvl w:val="2"/>
                <w:numId w:val="0"/>
              </w:numPr>
              <w:rPr>
                <w:rFonts w:hint="default" w:eastAsia="黑体"/>
                <w:lang w:val="en-US" w:eastAsia="zh-CN"/>
              </w:rPr>
            </w:pPr>
            <w:bookmarkStart w:id="3" w:name="_Toc51769116"/>
            <w:bookmarkStart w:id="4" w:name="_Toc68013422"/>
            <w:r>
              <w:rPr>
                <w:rFonts w:hint="eastAsia"/>
                <w:lang w:val="en-US" w:eastAsia="zh-CN"/>
              </w:rPr>
              <w:t>TS 23.501</w:t>
            </w:r>
          </w:p>
          <w:p>
            <w:pPr>
              <w:pStyle w:val="5"/>
              <w:numPr>
                <w:ilvl w:val="2"/>
                <w:numId w:val="0"/>
              </w:numPr>
            </w:pPr>
            <w:r>
              <w:t>5.4.9.2</w:t>
            </w:r>
            <w:r>
              <w:tab/>
            </w:r>
            <w:r>
              <w:t>Group Wake Up Signal</w:t>
            </w:r>
            <w:bookmarkEnd w:id="3"/>
            <w:bookmarkEnd w:id="4"/>
          </w:p>
          <w:p>
            <w:r>
              <w:t>To support the Wake Up Signal (WUS), the WUS Assistance Information is used by the ng-eNB to help determine the WUS group used when paging the UE (see TS 36.300 [30]).</w:t>
            </w:r>
          </w:p>
          <w:p>
            <w:r>
              <w:t>The content of the WUS Assistance Information consists of the paging probability information. The paging probability information provides a metric on the probability of a UE receiving a paging message based on, e.g. statistical information.</w:t>
            </w:r>
          </w:p>
          <w:p>
            <w:r>
              <w:t xml:space="preserve">The UE may in the Registration Request message provide its capability to support receiving WUS Assistance Information. If WUS Assistance Information is supported by the UE, then the UE in the Registration Request message may provide the additional UE paging probability information. </w:t>
            </w:r>
            <w:r>
              <w:rPr>
                <w:highlight w:val="yellow"/>
              </w:rPr>
              <w:t xml:space="preserve">The AMF may use the UE provided paging probability, local configuration and/or previous statistical information for the UE, when determining the WUS Assistance Information. </w:t>
            </w:r>
            <w:r>
              <w:t>If the UE supports WUS Assistance Information, the AMF may assign WUS Assistance Information to the UE, even when the UE has not provided the additional UE paging probability information.</w:t>
            </w:r>
          </w:p>
          <w:p>
            <w:r>
              <w:t>If the AMF has determined WUS Assistance Information for the UE, the AMF provides it to the UE in every Registration Accept message. The AMF stores the WUS Assistance Information parameter in the MM context and provides it to the ng-eNB when paging the UE.</w:t>
            </w:r>
          </w:p>
          <w:p>
            <w:r>
              <w:t>UE and AMF shall not signal WUS Assistance Information in Registration Request, Registration Accept messages when the UE has an active emergency PDU session.</w:t>
            </w:r>
          </w:p>
          <w:p>
            <w:pPr>
              <w:bidi w:val="0"/>
              <w:rPr>
                <w:rFonts w:hint="default"/>
                <w:vertAlign w:val="baseline"/>
                <w:lang w:val="en-US" w:eastAsia="zh-CN"/>
              </w:rPr>
            </w:pPr>
          </w:p>
        </w:tc>
      </w:tr>
    </w:tbl>
    <w:p>
      <w:pPr>
        <w:bidi w:val="0"/>
        <w:rPr>
          <w:rFonts w:hint="default"/>
          <w:lang w:val="en-US" w:eastAsia="zh-CN"/>
        </w:rPr>
      </w:pPr>
      <w:r>
        <w:rPr>
          <w:rFonts w:hint="eastAsia"/>
          <w:lang w:val="en-US" w:eastAsia="zh-CN"/>
        </w:rPr>
        <w:t>According to above information, The UE supporting GWUS have to report the capability of receiving WUS assistance information in the message of UE</w:t>
      </w:r>
      <w:r>
        <w:rPr>
          <w:rFonts w:hint="default"/>
          <w:lang w:val="en-US" w:eastAsia="zh-CN"/>
        </w:rPr>
        <w:t>’</w:t>
      </w:r>
      <w:r>
        <w:rPr>
          <w:rFonts w:hint="eastAsia"/>
          <w:lang w:val="en-US" w:eastAsia="zh-CN"/>
        </w:rPr>
        <w:t>s MM Core Network capability to AMF, and</w:t>
      </w:r>
      <w:r>
        <w:rPr>
          <w:rFonts w:hint="eastAsia"/>
          <w:highlight w:val="yellow"/>
          <w:lang w:val="en-US" w:eastAsia="zh-CN"/>
        </w:rPr>
        <w:t xml:space="preserve"> </w:t>
      </w:r>
      <w:r>
        <w:rPr>
          <w:rFonts w:hint="eastAsia"/>
          <w:b/>
          <w:bCs/>
          <w:highlight w:val="yellow"/>
          <w:u w:val="single"/>
          <w:lang w:val="en-US" w:eastAsia="zh-CN"/>
        </w:rPr>
        <w:t>optionally</w:t>
      </w:r>
      <w:r>
        <w:rPr>
          <w:rFonts w:hint="eastAsia"/>
          <w:highlight w:val="yellow"/>
          <w:lang w:val="en-US" w:eastAsia="zh-CN"/>
        </w:rPr>
        <w:t xml:space="preserve"> provide the paging probability to AMF in order to help AMF determine final paging probability in the WUS assistance information for UE.</w:t>
      </w:r>
    </w:p>
    <w:p>
      <w:pPr>
        <w:bidi w:val="0"/>
        <w:rPr>
          <w:rFonts w:hint="eastAsia"/>
          <w:b/>
          <w:bCs/>
          <w:lang w:val="en-US" w:eastAsia="zh-CN"/>
        </w:rPr>
      </w:pPr>
      <w:r>
        <w:rPr>
          <w:rFonts w:hint="eastAsia"/>
          <w:b/>
          <w:bCs/>
          <w:lang w:val="en-US" w:eastAsia="zh-CN"/>
        </w:rPr>
        <w:t>Observation 1: For GWUS in LTE, UE supporting GWUS need to report the capability to the AMF and optionally along with the paging probability for AMF in the message of the registration request. And AMF will send a WUS assistance information to UE which include paging probability in the message of the Registration Accept.</w:t>
      </w:r>
    </w:p>
    <w:p>
      <w:pPr>
        <w:bidi w:val="0"/>
        <w:rPr>
          <w:rFonts w:hint="eastAsia"/>
          <w:b w:val="0"/>
          <w:bCs w:val="0"/>
          <w:lang w:val="en-US" w:eastAsia="zh-CN"/>
        </w:rPr>
      </w:pPr>
      <w:r>
        <w:rPr>
          <w:rFonts w:hint="eastAsia"/>
          <w:b w:val="0"/>
          <w:bCs w:val="0"/>
          <w:lang w:val="en-US" w:eastAsia="zh-CN"/>
        </w:rPr>
        <w:t>Regarding the subgrouping in NR, it does make sure that the UE can be grouped by CN based on one or more attributions , and one of the attribution is paging probability, another one of the attribution is power profile. Compare to the paging profile, paging probability is relatively dynamic and statistical. It is beneficial for UE to provide the statistics of paging probability to CN for assigning the subgroup ID. so we suggest, for supporting CN assigned Subgrouping, UE optionally report the paging probability to AMF as GWUS and receiving the subgroup information from AMF.</w:t>
      </w:r>
    </w:p>
    <w:p>
      <w:pPr>
        <w:bidi w:val="0"/>
        <w:rPr>
          <w:rFonts w:hint="eastAsia"/>
          <w:b/>
          <w:bCs/>
          <w:lang w:val="en-US" w:eastAsia="zh-CN"/>
        </w:rPr>
      </w:pPr>
      <w:r>
        <w:rPr>
          <w:rFonts w:hint="eastAsia"/>
          <w:b/>
          <w:bCs/>
          <w:lang w:val="en-US" w:eastAsia="zh-CN"/>
        </w:rPr>
        <w:t>Proposal 1: The assistance information of the paging probability from UE to AMF for CN assigned subgrouping is supported, the detail signaling design is up to CT1/SA2.</w:t>
      </w:r>
    </w:p>
    <w:p>
      <w:pPr>
        <w:bidi w:val="0"/>
        <w:rPr>
          <w:rFonts w:hint="default"/>
          <w:b w:val="0"/>
          <w:bCs w:val="0"/>
          <w:u w:val="single"/>
          <w:lang w:val="en-US" w:eastAsia="zh-CN"/>
        </w:rPr>
      </w:pPr>
      <w:r>
        <w:rPr>
          <w:rFonts w:hint="eastAsia"/>
          <w:b w:val="0"/>
          <w:bCs w:val="0"/>
          <w:u w:val="single"/>
          <w:lang w:val="en-US" w:eastAsia="zh-CN"/>
        </w:rPr>
        <w:t>Issue 2: Assistance information from CN to RAN for CN assigned subgrouping</w:t>
      </w:r>
    </w:p>
    <w:p>
      <w:pPr>
        <w:bidi w:val="0"/>
        <w:rPr>
          <w:rFonts w:hint="default"/>
          <w:b w:val="0"/>
          <w:bCs w:val="0"/>
          <w:lang w:val="en-US" w:eastAsia="zh-CN"/>
        </w:rPr>
      </w:pPr>
      <w:r>
        <w:rPr>
          <w:rFonts w:hint="eastAsia"/>
          <w:b w:val="0"/>
          <w:bCs w:val="0"/>
          <w:lang w:val="en-US" w:eastAsia="zh-CN"/>
        </w:rPr>
        <w:t>According to the agreements achieved for subgrouping in both RAN1 and RAN2 so far, the subgrouping information is only carried on the PEI and PEI is a DCI like signal, hence the maximum total number of the subgroups is basically subject to the bits consumption for indicating subgroup in PEI format,</w:t>
      </w:r>
    </w:p>
    <w:p>
      <w:pPr>
        <w:bidi w:val="0"/>
        <w:rPr>
          <w:rFonts w:hint="eastAsia"/>
          <w:b w:val="0"/>
          <w:bCs w:val="0"/>
          <w:lang w:val="en-US" w:eastAsia="zh-CN"/>
        </w:rPr>
      </w:pPr>
      <w:r>
        <w:rPr>
          <w:rFonts w:hint="eastAsia"/>
          <w:b w:val="0"/>
          <w:bCs w:val="0"/>
          <w:lang w:val="en-US" w:eastAsia="zh-CN"/>
        </w:rPr>
        <w:t xml:space="preserve">Furthermore, the total number of the UE ID based subgroups is determined by RAN and the total number of the CN assigned subgroups is determined by CN. </w:t>
      </w:r>
    </w:p>
    <w:p>
      <w:pPr>
        <w:bidi w:val="0"/>
        <w:rPr>
          <w:rFonts w:hint="default"/>
          <w:b w:val="0"/>
          <w:bCs w:val="0"/>
          <w:lang w:val="en-US" w:eastAsia="zh-CN"/>
        </w:rPr>
      </w:pPr>
      <w:r>
        <w:rPr>
          <w:rFonts w:hint="eastAsia"/>
          <w:b w:val="0"/>
          <w:bCs w:val="0"/>
          <w:lang w:val="en-US" w:eastAsia="zh-CN"/>
        </w:rPr>
        <w:t>Assuming one RAN support both UE ID based subgrouping and CN assigned subgrouping, if CN does not transfer any information about maximum number of CN assigned subgroups to this RAN, RAN will decide the maximum number of UE ID based subgroups by the number of UE supporting the UE ID based subgouping , so the amount of UE ID based subgroups and CN assigned subgroups might be beyond the maximum total number of subgroups, by which it will result in another issue how to deal with the overflow of subgroup numbers issue . Thus it is beneficial for RAN to realize the maximum number of CN assigned subgroups before deciding the maximum number of UE ID based subgroups.</w:t>
      </w:r>
    </w:p>
    <w:p>
      <w:pPr>
        <w:bidi w:val="0"/>
        <w:rPr>
          <w:rFonts w:hint="default"/>
          <w:b/>
          <w:bCs/>
          <w:lang w:val="en-US" w:eastAsia="zh-CN"/>
        </w:rPr>
      </w:pPr>
      <w:r>
        <w:rPr>
          <w:rFonts w:hint="eastAsia"/>
          <w:b/>
          <w:bCs/>
          <w:lang w:val="en-US" w:eastAsia="zh-CN"/>
        </w:rPr>
        <w:t>Proposal 2: If RAN is able to support both UE ID based subgrouping and CN assigned subgrouping, the assistance information about the maximum number of CN assigned subgroups from CN to RAN is supported, the detail signaling design is up to CT1/SA2.</w:t>
      </w:r>
    </w:p>
    <w:p>
      <w:pPr>
        <w:bidi w:val="0"/>
        <w:rPr>
          <w:rFonts w:hint="default"/>
          <w:b/>
          <w:bCs/>
          <w:lang w:val="en-US" w:eastAsia="zh-CN"/>
        </w:rPr>
      </w:pPr>
      <w:r>
        <w:rPr>
          <w:rFonts w:hint="eastAsia"/>
          <w:b/>
          <w:bCs/>
          <w:lang w:val="en-US" w:eastAsia="zh-CN"/>
        </w:rPr>
        <w:t>Proposal 3: If any one of above proposals is agreed, send an LS to notify CT1/SA2 about the decision of RAN2.</w:t>
      </w:r>
    </w:p>
    <w:bookmarkEnd w:id="2"/>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r>
        <w:rPr>
          <w:rFonts w:hint="eastAsia" w:ascii="Arial" w:hAnsi="Arial" w:cs="Arial"/>
          <w:b w:val="0"/>
          <w:bCs w:val="0"/>
          <w:kern w:val="0"/>
          <w:sz w:val="32"/>
          <w:szCs w:val="36"/>
        </w:rPr>
        <w:t xml:space="preserve"> </w:t>
      </w:r>
    </w:p>
    <w:p>
      <w:pPr>
        <w:jc w:val="left"/>
        <w:rPr>
          <w:rFonts w:hint="eastAsia"/>
          <w:sz w:val="20"/>
          <w:szCs w:val="20"/>
        </w:rPr>
      </w:pPr>
      <w:r>
        <w:rPr>
          <w:rFonts w:hint="eastAsia"/>
          <w:sz w:val="20"/>
          <w:szCs w:val="20"/>
        </w:rPr>
        <w:t>With the above analysis, we have the following conclusions and proposals:</w:t>
      </w:r>
    </w:p>
    <w:p>
      <w:pPr>
        <w:bidi w:val="0"/>
        <w:rPr>
          <w:rFonts w:hint="eastAsia"/>
          <w:b/>
          <w:bCs/>
          <w:lang w:val="en-US" w:eastAsia="zh-CN"/>
        </w:rPr>
      </w:pPr>
      <w:r>
        <w:rPr>
          <w:rFonts w:hint="eastAsia"/>
          <w:b/>
          <w:bCs/>
          <w:lang w:val="en-US" w:eastAsia="zh-CN"/>
        </w:rPr>
        <w:t>Observation 1: For GWUS in LTE, UE supporting GWUS need to report the capability to the AMF and optionally along with the paging probability for AMF in the message of the registration request. And AMF will send a WUS assistance information to UE which includes the final paging probability in the message of the Registration Accept.</w:t>
      </w:r>
    </w:p>
    <w:p>
      <w:pPr>
        <w:bidi w:val="0"/>
        <w:rPr>
          <w:rFonts w:hint="eastAsia"/>
          <w:b/>
          <w:bCs/>
          <w:lang w:val="en-US" w:eastAsia="zh-CN"/>
        </w:rPr>
      </w:pPr>
      <w:r>
        <w:rPr>
          <w:rFonts w:hint="eastAsia"/>
          <w:b/>
          <w:bCs/>
          <w:lang w:val="en-US" w:eastAsia="zh-CN"/>
        </w:rPr>
        <w:t>Proposal 1: The assistance information of the paging probability from UE to AMF for CN assigned subgrouping is supported, the detail signaling design is up to CT1/SA2.</w:t>
      </w:r>
    </w:p>
    <w:p>
      <w:pPr>
        <w:bidi w:val="0"/>
        <w:rPr>
          <w:rFonts w:hint="default"/>
          <w:b/>
          <w:bCs/>
          <w:lang w:val="en-US" w:eastAsia="zh-CN"/>
        </w:rPr>
      </w:pPr>
      <w:r>
        <w:rPr>
          <w:rFonts w:hint="eastAsia"/>
          <w:b/>
          <w:bCs/>
          <w:lang w:val="en-US" w:eastAsia="zh-CN"/>
        </w:rPr>
        <w:t>Proposal 2: If RAN is able to support both UE ID based subgrouping and CN assigned subgrouping, the assistance information about the maximum number of CN assigned subgroups from CN to RAN is supported, the detail signaling design is up to CT1/SA2.</w:t>
      </w:r>
    </w:p>
    <w:p>
      <w:pPr>
        <w:bidi w:val="0"/>
        <w:rPr>
          <w:rFonts w:hint="eastAsia"/>
          <w:sz w:val="20"/>
          <w:szCs w:val="20"/>
        </w:rPr>
      </w:pPr>
      <w:r>
        <w:rPr>
          <w:rFonts w:hint="eastAsia"/>
          <w:b/>
          <w:bCs/>
          <w:lang w:val="en-US" w:eastAsia="zh-CN"/>
        </w:rPr>
        <w:t>Proposal 3: If any one of above proposals is agreed, send an LS to notify CT1/SA2 about the decision of RAN2.</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spacing w:line="260" w:lineRule="auto"/>
        <w:ind w:firstLine="0" w:firstLineChars="0"/>
        <w:jc w:val="left"/>
        <w:rPr>
          <w:sz w:val="20"/>
          <w:szCs w:val="20"/>
        </w:rPr>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rPr>
        <w:rFonts w:hint="default" w:ascii="Times New Roman" w:hAnsi="Times New Roman" w:cs="Times New Roman"/>
        <w:b/>
        <w:bCs/>
        <w:sz w:val="40"/>
        <w:szCs w:val="40"/>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7"/>
    <w:rsid w:val="00001366"/>
    <w:rsid w:val="0000394D"/>
    <w:rsid w:val="000055B1"/>
    <w:rsid w:val="00005B70"/>
    <w:rsid w:val="0000767C"/>
    <w:rsid w:val="000103E7"/>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54CA"/>
    <w:rsid w:val="000563ED"/>
    <w:rsid w:val="00057D0E"/>
    <w:rsid w:val="000603D6"/>
    <w:rsid w:val="00062984"/>
    <w:rsid w:val="00062D12"/>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E1125"/>
    <w:rsid w:val="000E1993"/>
    <w:rsid w:val="000E3B8A"/>
    <w:rsid w:val="000E65BC"/>
    <w:rsid w:val="000F0A7B"/>
    <w:rsid w:val="000F4CFF"/>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5E30"/>
    <w:rsid w:val="00137B0E"/>
    <w:rsid w:val="00137D4E"/>
    <w:rsid w:val="001413B6"/>
    <w:rsid w:val="00141772"/>
    <w:rsid w:val="00141835"/>
    <w:rsid w:val="00145AFF"/>
    <w:rsid w:val="00147740"/>
    <w:rsid w:val="00150BAB"/>
    <w:rsid w:val="00156452"/>
    <w:rsid w:val="00160A40"/>
    <w:rsid w:val="001627D9"/>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FEF"/>
    <w:rsid w:val="00190A8D"/>
    <w:rsid w:val="0019547D"/>
    <w:rsid w:val="00195E1F"/>
    <w:rsid w:val="00196645"/>
    <w:rsid w:val="00197997"/>
    <w:rsid w:val="001A22A7"/>
    <w:rsid w:val="001A384E"/>
    <w:rsid w:val="001A4015"/>
    <w:rsid w:val="001A6AFD"/>
    <w:rsid w:val="001A75C4"/>
    <w:rsid w:val="001B21A1"/>
    <w:rsid w:val="001B337C"/>
    <w:rsid w:val="001B5AE5"/>
    <w:rsid w:val="001B6518"/>
    <w:rsid w:val="001B7027"/>
    <w:rsid w:val="001B7C67"/>
    <w:rsid w:val="001C0CED"/>
    <w:rsid w:val="001C1105"/>
    <w:rsid w:val="001C17C6"/>
    <w:rsid w:val="001C2189"/>
    <w:rsid w:val="001C22DE"/>
    <w:rsid w:val="001C2425"/>
    <w:rsid w:val="001C3C4C"/>
    <w:rsid w:val="001C7F10"/>
    <w:rsid w:val="001D2914"/>
    <w:rsid w:val="001D2FB0"/>
    <w:rsid w:val="001E0341"/>
    <w:rsid w:val="001E1C36"/>
    <w:rsid w:val="001E3D8C"/>
    <w:rsid w:val="001E43EF"/>
    <w:rsid w:val="001E44CD"/>
    <w:rsid w:val="001E6F40"/>
    <w:rsid w:val="001E7559"/>
    <w:rsid w:val="001F31F0"/>
    <w:rsid w:val="001F3DF5"/>
    <w:rsid w:val="001F4346"/>
    <w:rsid w:val="00201FFE"/>
    <w:rsid w:val="00202C4B"/>
    <w:rsid w:val="002035B4"/>
    <w:rsid w:val="00203774"/>
    <w:rsid w:val="00203B88"/>
    <w:rsid w:val="00205321"/>
    <w:rsid w:val="00206380"/>
    <w:rsid w:val="002155FA"/>
    <w:rsid w:val="002176DE"/>
    <w:rsid w:val="00220834"/>
    <w:rsid w:val="00223B64"/>
    <w:rsid w:val="0023029F"/>
    <w:rsid w:val="00231281"/>
    <w:rsid w:val="00231D10"/>
    <w:rsid w:val="00231DC2"/>
    <w:rsid w:val="00232A02"/>
    <w:rsid w:val="002333B7"/>
    <w:rsid w:val="002339C1"/>
    <w:rsid w:val="002344F2"/>
    <w:rsid w:val="002368E4"/>
    <w:rsid w:val="00236F8F"/>
    <w:rsid w:val="00241832"/>
    <w:rsid w:val="00242E0D"/>
    <w:rsid w:val="00244D42"/>
    <w:rsid w:val="00245149"/>
    <w:rsid w:val="00246FFA"/>
    <w:rsid w:val="00247076"/>
    <w:rsid w:val="00252B94"/>
    <w:rsid w:val="00255E19"/>
    <w:rsid w:val="0025653A"/>
    <w:rsid w:val="00256C2E"/>
    <w:rsid w:val="00257233"/>
    <w:rsid w:val="00257421"/>
    <w:rsid w:val="00260716"/>
    <w:rsid w:val="0026193E"/>
    <w:rsid w:val="00261A9C"/>
    <w:rsid w:val="00261E11"/>
    <w:rsid w:val="00262518"/>
    <w:rsid w:val="0026554F"/>
    <w:rsid w:val="00267D0B"/>
    <w:rsid w:val="00270A1C"/>
    <w:rsid w:val="002716E8"/>
    <w:rsid w:val="00271ED8"/>
    <w:rsid w:val="002724B9"/>
    <w:rsid w:val="00272584"/>
    <w:rsid w:val="002730ED"/>
    <w:rsid w:val="0027675D"/>
    <w:rsid w:val="00281718"/>
    <w:rsid w:val="00283B4B"/>
    <w:rsid w:val="002854AD"/>
    <w:rsid w:val="002855D0"/>
    <w:rsid w:val="00290E18"/>
    <w:rsid w:val="00291D54"/>
    <w:rsid w:val="00293A6E"/>
    <w:rsid w:val="00296302"/>
    <w:rsid w:val="00296677"/>
    <w:rsid w:val="00297A88"/>
    <w:rsid w:val="002A43A8"/>
    <w:rsid w:val="002A66AB"/>
    <w:rsid w:val="002B24A3"/>
    <w:rsid w:val="002B2BBC"/>
    <w:rsid w:val="002B351B"/>
    <w:rsid w:val="002B3C48"/>
    <w:rsid w:val="002B434C"/>
    <w:rsid w:val="002B4F1D"/>
    <w:rsid w:val="002B75E7"/>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3596"/>
    <w:rsid w:val="002E5737"/>
    <w:rsid w:val="002E674B"/>
    <w:rsid w:val="002E7525"/>
    <w:rsid w:val="002F01CA"/>
    <w:rsid w:val="002F1163"/>
    <w:rsid w:val="002F12B3"/>
    <w:rsid w:val="002F2924"/>
    <w:rsid w:val="002F3161"/>
    <w:rsid w:val="002F5517"/>
    <w:rsid w:val="002F74B9"/>
    <w:rsid w:val="002F7AA9"/>
    <w:rsid w:val="003031CE"/>
    <w:rsid w:val="00305358"/>
    <w:rsid w:val="003057F5"/>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B60"/>
    <w:rsid w:val="00336046"/>
    <w:rsid w:val="003371B2"/>
    <w:rsid w:val="00340AAF"/>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5C87"/>
    <w:rsid w:val="00387F14"/>
    <w:rsid w:val="00391402"/>
    <w:rsid w:val="00391490"/>
    <w:rsid w:val="00391F87"/>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3A50"/>
    <w:rsid w:val="003B448B"/>
    <w:rsid w:val="003B47C6"/>
    <w:rsid w:val="003B774C"/>
    <w:rsid w:val="003B79ED"/>
    <w:rsid w:val="003C0583"/>
    <w:rsid w:val="003C3E62"/>
    <w:rsid w:val="003C464E"/>
    <w:rsid w:val="003D01E0"/>
    <w:rsid w:val="003D0EF8"/>
    <w:rsid w:val="003D1455"/>
    <w:rsid w:val="003D2041"/>
    <w:rsid w:val="003D2B72"/>
    <w:rsid w:val="003D2CE7"/>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09D9"/>
    <w:rsid w:val="00400A1A"/>
    <w:rsid w:val="00401149"/>
    <w:rsid w:val="00401C3E"/>
    <w:rsid w:val="00402720"/>
    <w:rsid w:val="00402985"/>
    <w:rsid w:val="004046D6"/>
    <w:rsid w:val="004060CF"/>
    <w:rsid w:val="00406593"/>
    <w:rsid w:val="004069B2"/>
    <w:rsid w:val="00410275"/>
    <w:rsid w:val="00410408"/>
    <w:rsid w:val="00413229"/>
    <w:rsid w:val="00413D6F"/>
    <w:rsid w:val="00415023"/>
    <w:rsid w:val="004228A3"/>
    <w:rsid w:val="004229AC"/>
    <w:rsid w:val="00423D3B"/>
    <w:rsid w:val="004245A3"/>
    <w:rsid w:val="00424A48"/>
    <w:rsid w:val="00425276"/>
    <w:rsid w:val="004274EC"/>
    <w:rsid w:val="00427917"/>
    <w:rsid w:val="0043487F"/>
    <w:rsid w:val="00436238"/>
    <w:rsid w:val="0043672A"/>
    <w:rsid w:val="00437EF1"/>
    <w:rsid w:val="00441EB5"/>
    <w:rsid w:val="0044341B"/>
    <w:rsid w:val="00443D84"/>
    <w:rsid w:val="00444131"/>
    <w:rsid w:val="00444F7D"/>
    <w:rsid w:val="00445007"/>
    <w:rsid w:val="00446A9B"/>
    <w:rsid w:val="00453750"/>
    <w:rsid w:val="00456668"/>
    <w:rsid w:val="0046088D"/>
    <w:rsid w:val="00460FF4"/>
    <w:rsid w:val="00462F02"/>
    <w:rsid w:val="00466EDC"/>
    <w:rsid w:val="00467368"/>
    <w:rsid w:val="00467D25"/>
    <w:rsid w:val="00470697"/>
    <w:rsid w:val="00471CB7"/>
    <w:rsid w:val="0047305C"/>
    <w:rsid w:val="0047403A"/>
    <w:rsid w:val="00474161"/>
    <w:rsid w:val="00474C36"/>
    <w:rsid w:val="00475E38"/>
    <w:rsid w:val="004770A0"/>
    <w:rsid w:val="0048006F"/>
    <w:rsid w:val="004806E7"/>
    <w:rsid w:val="00481C3A"/>
    <w:rsid w:val="00482BBB"/>
    <w:rsid w:val="0048379B"/>
    <w:rsid w:val="00485114"/>
    <w:rsid w:val="00485AE4"/>
    <w:rsid w:val="00486111"/>
    <w:rsid w:val="00486720"/>
    <w:rsid w:val="0049176F"/>
    <w:rsid w:val="00492EA5"/>
    <w:rsid w:val="00493247"/>
    <w:rsid w:val="004966BC"/>
    <w:rsid w:val="00497BD9"/>
    <w:rsid w:val="00497BFB"/>
    <w:rsid w:val="004A0053"/>
    <w:rsid w:val="004A2687"/>
    <w:rsid w:val="004A3927"/>
    <w:rsid w:val="004A402F"/>
    <w:rsid w:val="004A54C0"/>
    <w:rsid w:val="004A7CAA"/>
    <w:rsid w:val="004B056D"/>
    <w:rsid w:val="004B12D7"/>
    <w:rsid w:val="004B2B05"/>
    <w:rsid w:val="004B2BBA"/>
    <w:rsid w:val="004B5502"/>
    <w:rsid w:val="004B71F4"/>
    <w:rsid w:val="004B76B6"/>
    <w:rsid w:val="004C0B5E"/>
    <w:rsid w:val="004C1175"/>
    <w:rsid w:val="004C16C3"/>
    <w:rsid w:val="004C16F8"/>
    <w:rsid w:val="004C355B"/>
    <w:rsid w:val="004C6366"/>
    <w:rsid w:val="004C63EE"/>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1570"/>
    <w:rsid w:val="005017DA"/>
    <w:rsid w:val="00501E2B"/>
    <w:rsid w:val="00502CB5"/>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37668"/>
    <w:rsid w:val="00542ED7"/>
    <w:rsid w:val="00545A76"/>
    <w:rsid w:val="005506C7"/>
    <w:rsid w:val="005514AA"/>
    <w:rsid w:val="00552C4B"/>
    <w:rsid w:val="00553234"/>
    <w:rsid w:val="0055402E"/>
    <w:rsid w:val="0055689F"/>
    <w:rsid w:val="00561349"/>
    <w:rsid w:val="005657FC"/>
    <w:rsid w:val="00567054"/>
    <w:rsid w:val="00567A9A"/>
    <w:rsid w:val="00570FEC"/>
    <w:rsid w:val="00571A8C"/>
    <w:rsid w:val="0057377D"/>
    <w:rsid w:val="00585E04"/>
    <w:rsid w:val="005910DD"/>
    <w:rsid w:val="00592AD4"/>
    <w:rsid w:val="00592E35"/>
    <w:rsid w:val="005940C1"/>
    <w:rsid w:val="0059566C"/>
    <w:rsid w:val="0059585E"/>
    <w:rsid w:val="00597FF8"/>
    <w:rsid w:val="005A3156"/>
    <w:rsid w:val="005A53DF"/>
    <w:rsid w:val="005A6185"/>
    <w:rsid w:val="005B052E"/>
    <w:rsid w:val="005B220B"/>
    <w:rsid w:val="005B2E19"/>
    <w:rsid w:val="005B66D2"/>
    <w:rsid w:val="005B7842"/>
    <w:rsid w:val="005C0EC9"/>
    <w:rsid w:val="005C1AC7"/>
    <w:rsid w:val="005C20A4"/>
    <w:rsid w:val="005C2356"/>
    <w:rsid w:val="005C4B1B"/>
    <w:rsid w:val="005D3608"/>
    <w:rsid w:val="005D494C"/>
    <w:rsid w:val="005D57F1"/>
    <w:rsid w:val="005D680C"/>
    <w:rsid w:val="005D75F6"/>
    <w:rsid w:val="005E06D3"/>
    <w:rsid w:val="005E27C0"/>
    <w:rsid w:val="005E4F1C"/>
    <w:rsid w:val="005E5573"/>
    <w:rsid w:val="005E7B04"/>
    <w:rsid w:val="005F05D7"/>
    <w:rsid w:val="005F05DE"/>
    <w:rsid w:val="005F097D"/>
    <w:rsid w:val="005F1004"/>
    <w:rsid w:val="005F1FAE"/>
    <w:rsid w:val="005F38B4"/>
    <w:rsid w:val="005F42AD"/>
    <w:rsid w:val="005F4E40"/>
    <w:rsid w:val="005F56A6"/>
    <w:rsid w:val="005F6041"/>
    <w:rsid w:val="005F7E99"/>
    <w:rsid w:val="006000DB"/>
    <w:rsid w:val="00601081"/>
    <w:rsid w:val="006012C6"/>
    <w:rsid w:val="00603143"/>
    <w:rsid w:val="00603239"/>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C68"/>
    <w:rsid w:val="00623125"/>
    <w:rsid w:val="0062321A"/>
    <w:rsid w:val="00623A9B"/>
    <w:rsid w:val="006241EE"/>
    <w:rsid w:val="00627ACD"/>
    <w:rsid w:val="00630383"/>
    <w:rsid w:val="00630B29"/>
    <w:rsid w:val="00633DA7"/>
    <w:rsid w:val="0063407C"/>
    <w:rsid w:val="00635291"/>
    <w:rsid w:val="006357BD"/>
    <w:rsid w:val="006408DC"/>
    <w:rsid w:val="006413AD"/>
    <w:rsid w:val="00641AA5"/>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D2A"/>
    <w:rsid w:val="00691E28"/>
    <w:rsid w:val="006934FA"/>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20D8"/>
    <w:rsid w:val="006C2D21"/>
    <w:rsid w:val="006C3A13"/>
    <w:rsid w:val="006C3B93"/>
    <w:rsid w:val="006C60A2"/>
    <w:rsid w:val="006C6193"/>
    <w:rsid w:val="006C7833"/>
    <w:rsid w:val="006D0533"/>
    <w:rsid w:val="006D436D"/>
    <w:rsid w:val="006D5430"/>
    <w:rsid w:val="006D5F00"/>
    <w:rsid w:val="006D63EF"/>
    <w:rsid w:val="006D7C19"/>
    <w:rsid w:val="006D7CA8"/>
    <w:rsid w:val="006E2FE4"/>
    <w:rsid w:val="006E36C6"/>
    <w:rsid w:val="006E3B73"/>
    <w:rsid w:val="006E5719"/>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65B5"/>
    <w:rsid w:val="007165BE"/>
    <w:rsid w:val="007200FA"/>
    <w:rsid w:val="0072288C"/>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312"/>
    <w:rsid w:val="00765D32"/>
    <w:rsid w:val="007705A1"/>
    <w:rsid w:val="00770F43"/>
    <w:rsid w:val="00771468"/>
    <w:rsid w:val="007719AC"/>
    <w:rsid w:val="00773686"/>
    <w:rsid w:val="00774A57"/>
    <w:rsid w:val="00776A65"/>
    <w:rsid w:val="00776AD0"/>
    <w:rsid w:val="00780871"/>
    <w:rsid w:val="00785CD5"/>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5E8"/>
    <w:rsid w:val="007A6821"/>
    <w:rsid w:val="007B055F"/>
    <w:rsid w:val="007B0BAC"/>
    <w:rsid w:val="007B289A"/>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D16"/>
    <w:rsid w:val="00874735"/>
    <w:rsid w:val="008768D2"/>
    <w:rsid w:val="00880248"/>
    <w:rsid w:val="00880F6C"/>
    <w:rsid w:val="008855E2"/>
    <w:rsid w:val="00885E69"/>
    <w:rsid w:val="00886047"/>
    <w:rsid w:val="00886521"/>
    <w:rsid w:val="00887F76"/>
    <w:rsid w:val="00890083"/>
    <w:rsid w:val="0089021E"/>
    <w:rsid w:val="00891E7C"/>
    <w:rsid w:val="00891E8C"/>
    <w:rsid w:val="008937A3"/>
    <w:rsid w:val="0089509A"/>
    <w:rsid w:val="00896FB8"/>
    <w:rsid w:val="008A0087"/>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71"/>
    <w:rsid w:val="008E705E"/>
    <w:rsid w:val="008E74B4"/>
    <w:rsid w:val="008F2453"/>
    <w:rsid w:val="008F34E9"/>
    <w:rsid w:val="00902833"/>
    <w:rsid w:val="009039E2"/>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54BB"/>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2D46"/>
    <w:rsid w:val="009F3D12"/>
    <w:rsid w:val="009F51E2"/>
    <w:rsid w:val="009F572B"/>
    <w:rsid w:val="00A03D3F"/>
    <w:rsid w:val="00A04BEB"/>
    <w:rsid w:val="00A04DE2"/>
    <w:rsid w:val="00A06515"/>
    <w:rsid w:val="00A10FE1"/>
    <w:rsid w:val="00A11A20"/>
    <w:rsid w:val="00A11DFB"/>
    <w:rsid w:val="00A11F1E"/>
    <w:rsid w:val="00A14BA5"/>
    <w:rsid w:val="00A15C80"/>
    <w:rsid w:val="00A15DA4"/>
    <w:rsid w:val="00A20607"/>
    <w:rsid w:val="00A20770"/>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0BA8"/>
    <w:rsid w:val="00A4230E"/>
    <w:rsid w:val="00A44BE1"/>
    <w:rsid w:val="00A4500D"/>
    <w:rsid w:val="00A504A8"/>
    <w:rsid w:val="00A529EC"/>
    <w:rsid w:val="00A53DD7"/>
    <w:rsid w:val="00A542B8"/>
    <w:rsid w:val="00A54719"/>
    <w:rsid w:val="00A5709E"/>
    <w:rsid w:val="00A60A47"/>
    <w:rsid w:val="00A612B9"/>
    <w:rsid w:val="00A665FB"/>
    <w:rsid w:val="00A66B14"/>
    <w:rsid w:val="00A66CF8"/>
    <w:rsid w:val="00A71C52"/>
    <w:rsid w:val="00A72173"/>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A99"/>
    <w:rsid w:val="00AB3D67"/>
    <w:rsid w:val="00AC1E06"/>
    <w:rsid w:val="00AC4276"/>
    <w:rsid w:val="00AC464D"/>
    <w:rsid w:val="00AC51E8"/>
    <w:rsid w:val="00AC57DE"/>
    <w:rsid w:val="00AC6ACD"/>
    <w:rsid w:val="00AD06A2"/>
    <w:rsid w:val="00AD0CA9"/>
    <w:rsid w:val="00AD1C5F"/>
    <w:rsid w:val="00AD2407"/>
    <w:rsid w:val="00AD2F9B"/>
    <w:rsid w:val="00AD5EB1"/>
    <w:rsid w:val="00AD62D8"/>
    <w:rsid w:val="00AD72C3"/>
    <w:rsid w:val="00AD77E9"/>
    <w:rsid w:val="00AE1632"/>
    <w:rsid w:val="00AE447A"/>
    <w:rsid w:val="00AE49A7"/>
    <w:rsid w:val="00AE5146"/>
    <w:rsid w:val="00AE55C5"/>
    <w:rsid w:val="00AE5A4F"/>
    <w:rsid w:val="00AE6110"/>
    <w:rsid w:val="00AE6D4D"/>
    <w:rsid w:val="00AE7B16"/>
    <w:rsid w:val="00AF0B65"/>
    <w:rsid w:val="00AF6F39"/>
    <w:rsid w:val="00AF7EEF"/>
    <w:rsid w:val="00B002E0"/>
    <w:rsid w:val="00B0053F"/>
    <w:rsid w:val="00B0132A"/>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704A"/>
    <w:rsid w:val="00B40462"/>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09BD"/>
    <w:rsid w:val="00B716F8"/>
    <w:rsid w:val="00B82234"/>
    <w:rsid w:val="00B8229B"/>
    <w:rsid w:val="00B825B9"/>
    <w:rsid w:val="00B8283E"/>
    <w:rsid w:val="00B837AA"/>
    <w:rsid w:val="00B85E06"/>
    <w:rsid w:val="00B87D03"/>
    <w:rsid w:val="00B87F88"/>
    <w:rsid w:val="00B909E8"/>
    <w:rsid w:val="00B928EE"/>
    <w:rsid w:val="00B92AD5"/>
    <w:rsid w:val="00B94BA4"/>
    <w:rsid w:val="00B97DB5"/>
    <w:rsid w:val="00BA103C"/>
    <w:rsid w:val="00BA2041"/>
    <w:rsid w:val="00BA40DC"/>
    <w:rsid w:val="00BA4AB8"/>
    <w:rsid w:val="00BA6A67"/>
    <w:rsid w:val="00BB156E"/>
    <w:rsid w:val="00BB3ABA"/>
    <w:rsid w:val="00BB4FEC"/>
    <w:rsid w:val="00BB65B1"/>
    <w:rsid w:val="00BB69D5"/>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C9C"/>
    <w:rsid w:val="00BF0409"/>
    <w:rsid w:val="00BF0850"/>
    <w:rsid w:val="00BF3613"/>
    <w:rsid w:val="00BF37B7"/>
    <w:rsid w:val="00BF3CE6"/>
    <w:rsid w:val="00BF5C82"/>
    <w:rsid w:val="00BF7A5E"/>
    <w:rsid w:val="00C0085D"/>
    <w:rsid w:val="00C00E47"/>
    <w:rsid w:val="00C010AA"/>
    <w:rsid w:val="00C013EF"/>
    <w:rsid w:val="00C0168B"/>
    <w:rsid w:val="00C064FC"/>
    <w:rsid w:val="00C1166F"/>
    <w:rsid w:val="00C11D21"/>
    <w:rsid w:val="00C11EFC"/>
    <w:rsid w:val="00C1675F"/>
    <w:rsid w:val="00C172FB"/>
    <w:rsid w:val="00C21F2D"/>
    <w:rsid w:val="00C22A96"/>
    <w:rsid w:val="00C23439"/>
    <w:rsid w:val="00C27213"/>
    <w:rsid w:val="00C278C2"/>
    <w:rsid w:val="00C32425"/>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48B1"/>
    <w:rsid w:val="00C65327"/>
    <w:rsid w:val="00C657C9"/>
    <w:rsid w:val="00C663D3"/>
    <w:rsid w:val="00C67235"/>
    <w:rsid w:val="00C67382"/>
    <w:rsid w:val="00C70488"/>
    <w:rsid w:val="00C72471"/>
    <w:rsid w:val="00C72B4C"/>
    <w:rsid w:val="00C7616F"/>
    <w:rsid w:val="00C8086B"/>
    <w:rsid w:val="00C82D97"/>
    <w:rsid w:val="00C84D14"/>
    <w:rsid w:val="00C91C45"/>
    <w:rsid w:val="00C9369C"/>
    <w:rsid w:val="00C93EDD"/>
    <w:rsid w:val="00C953EF"/>
    <w:rsid w:val="00C953F6"/>
    <w:rsid w:val="00C97FD3"/>
    <w:rsid w:val="00CA0363"/>
    <w:rsid w:val="00CA06A4"/>
    <w:rsid w:val="00CA1A62"/>
    <w:rsid w:val="00CA501F"/>
    <w:rsid w:val="00CA59FA"/>
    <w:rsid w:val="00CA61CF"/>
    <w:rsid w:val="00CB1749"/>
    <w:rsid w:val="00CB3A9F"/>
    <w:rsid w:val="00CB5048"/>
    <w:rsid w:val="00CC10DA"/>
    <w:rsid w:val="00CC156D"/>
    <w:rsid w:val="00CC58C3"/>
    <w:rsid w:val="00CC58E1"/>
    <w:rsid w:val="00CD229F"/>
    <w:rsid w:val="00CD4B35"/>
    <w:rsid w:val="00CE2D1F"/>
    <w:rsid w:val="00CE52F0"/>
    <w:rsid w:val="00CE6624"/>
    <w:rsid w:val="00CF18A3"/>
    <w:rsid w:val="00CF356A"/>
    <w:rsid w:val="00CF494F"/>
    <w:rsid w:val="00CF4A61"/>
    <w:rsid w:val="00D027C6"/>
    <w:rsid w:val="00D029CB"/>
    <w:rsid w:val="00D04274"/>
    <w:rsid w:val="00D05A8B"/>
    <w:rsid w:val="00D0617E"/>
    <w:rsid w:val="00D065B1"/>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5028"/>
    <w:rsid w:val="00D369E4"/>
    <w:rsid w:val="00D41A51"/>
    <w:rsid w:val="00D42DFD"/>
    <w:rsid w:val="00D45E14"/>
    <w:rsid w:val="00D47048"/>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76206"/>
    <w:rsid w:val="00D77EEA"/>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0868"/>
    <w:rsid w:val="00DF4CBC"/>
    <w:rsid w:val="00DF5370"/>
    <w:rsid w:val="00E0032E"/>
    <w:rsid w:val="00E0082E"/>
    <w:rsid w:val="00E0205D"/>
    <w:rsid w:val="00E03BE1"/>
    <w:rsid w:val="00E048C6"/>
    <w:rsid w:val="00E0737F"/>
    <w:rsid w:val="00E1018A"/>
    <w:rsid w:val="00E120F4"/>
    <w:rsid w:val="00E12A4C"/>
    <w:rsid w:val="00E153F6"/>
    <w:rsid w:val="00E15F7E"/>
    <w:rsid w:val="00E173DF"/>
    <w:rsid w:val="00E24866"/>
    <w:rsid w:val="00E2780E"/>
    <w:rsid w:val="00E27FC2"/>
    <w:rsid w:val="00E31912"/>
    <w:rsid w:val="00E31B60"/>
    <w:rsid w:val="00E31D33"/>
    <w:rsid w:val="00E34D88"/>
    <w:rsid w:val="00E353DB"/>
    <w:rsid w:val="00E36375"/>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601F7"/>
    <w:rsid w:val="00E62B3D"/>
    <w:rsid w:val="00E6315A"/>
    <w:rsid w:val="00E63986"/>
    <w:rsid w:val="00E65554"/>
    <w:rsid w:val="00E65E86"/>
    <w:rsid w:val="00E66C3B"/>
    <w:rsid w:val="00E67A63"/>
    <w:rsid w:val="00E71B00"/>
    <w:rsid w:val="00E73C7F"/>
    <w:rsid w:val="00E740D9"/>
    <w:rsid w:val="00E81712"/>
    <w:rsid w:val="00E8224F"/>
    <w:rsid w:val="00E832E5"/>
    <w:rsid w:val="00E853FB"/>
    <w:rsid w:val="00E85E3C"/>
    <w:rsid w:val="00E877D8"/>
    <w:rsid w:val="00E92404"/>
    <w:rsid w:val="00E943EE"/>
    <w:rsid w:val="00EA0385"/>
    <w:rsid w:val="00EA3791"/>
    <w:rsid w:val="00EA4D0C"/>
    <w:rsid w:val="00EA4E53"/>
    <w:rsid w:val="00EA5F48"/>
    <w:rsid w:val="00EA6259"/>
    <w:rsid w:val="00EA63A0"/>
    <w:rsid w:val="00EA766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41E7"/>
    <w:rsid w:val="00F25124"/>
    <w:rsid w:val="00F25BEF"/>
    <w:rsid w:val="00F270BA"/>
    <w:rsid w:val="00F308AF"/>
    <w:rsid w:val="00F32911"/>
    <w:rsid w:val="00F337F8"/>
    <w:rsid w:val="00F33B26"/>
    <w:rsid w:val="00F3464D"/>
    <w:rsid w:val="00F34704"/>
    <w:rsid w:val="00F34AA7"/>
    <w:rsid w:val="00F35208"/>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5AB0"/>
    <w:rsid w:val="00FB79F1"/>
    <w:rsid w:val="00FB7E5A"/>
    <w:rsid w:val="00FC38FF"/>
    <w:rsid w:val="00FC6E54"/>
    <w:rsid w:val="00FC7104"/>
    <w:rsid w:val="00FC7D38"/>
    <w:rsid w:val="00FD1379"/>
    <w:rsid w:val="00FD238F"/>
    <w:rsid w:val="00FD33A2"/>
    <w:rsid w:val="00FD6206"/>
    <w:rsid w:val="00FE09E7"/>
    <w:rsid w:val="00FE2161"/>
    <w:rsid w:val="00FE58B6"/>
    <w:rsid w:val="00FE7430"/>
    <w:rsid w:val="00FF0471"/>
    <w:rsid w:val="00FF0771"/>
    <w:rsid w:val="00FF0AAD"/>
    <w:rsid w:val="00FF29CE"/>
    <w:rsid w:val="00FF2E7C"/>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8C3829"/>
    <w:rsid w:val="18A5771F"/>
    <w:rsid w:val="18A90685"/>
    <w:rsid w:val="18AF74E1"/>
    <w:rsid w:val="18CB7663"/>
    <w:rsid w:val="18CD0844"/>
    <w:rsid w:val="18D45411"/>
    <w:rsid w:val="18D63AE2"/>
    <w:rsid w:val="18F8655D"/>
    <w:rsid w:val="18FE2979"/>
    <w:rsid w:val="19057478"/>
    <w:rsid w:val="190E7C32"/>
    <w:rsid w:val="19160144"/>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B21FB3"/>
    <w:rsid w:val="22B372CC"/>
    <w:rsid w:val="22C0384D"/>
    <w:rsid w:val="22C22C57"/>
    <w:rsid w:val="22DD7E0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2049A"/>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2E6109"/>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批注框文本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文档结构图 Char"/>
    <w:basedOn w:val="58"/>
    <w:link w:val="23"/>
    <w:qFormat/>
    <w:uiPriority w:val="0"/>
    <w:rPr>
      <w:rFonts w:ascii="宋体"/>
      <w:kern w:val="2"/>
      <w:sz w:val="18"/>
      <w:szCs w:val="18"/>
    </w:rPr>
  </w:style>
  <w:style w:type="character" w:customStyle="1" w:styleId="70">
    <w:name w:val="标题 1 Char"/>
    <w:basedOn w:val="58"/>
    <w:link w:val="2"/>
    <w:qFormat/>
    <w:uiPriority w:val="0"/>
    <w:rPr>
      <w:b/>
      <w:bCs/>
      <w:kern w:val="44"/>
      <w:sz w:val="44"/>
      <w:szCs w:val="44"/>
    </w:rPr>
  </w:style>
  <w:style w:type="character" w:customStyle="1" w:styleId="71">
    <w:name w:val="标题 2 Char"/>
    <w:basedOn w:val="58"/>
    <w:link w:val="3"/>
    <w:qFormat/>
    <w:uiPriority w:val="0"/>
    <w:rPr>
      <w:rFonts w:ascii="Arial" w:hAnsi="Arial" w:eastAsia="MS Mincho"/>
      <w:sz w:val="32"/>
      <w:szCs w:val="32"/>
      <w:lang w:val="en-GB"/>
    </w:rPr>
  </w:style>
  <w:style w:type="character" w:customStyle="1" w:styleId="72">
    <w:name w:val="标题 3 Char"/>
    <w:basedOn w:val="58"/>
    <w:link w:val="4"/>
    <w:qFormat/>
    <w:uiPriority w:val="0"/>
    <w:rPr>
      <w:b/>
      <w:bCs/>
      <w:kern w:val="2"/>
      <w:sz w:val="32"/>
      <w:szCs w:val="32"/>
    </w:rPr>
  </w:style>
  <w:style w:type="character" w:customStyle="1" w:styleId="73">
    <w:name w:val="标题 4 Char"/>
    <w:basedOn w:val="58"/>
    <w:link w:val="5"/>
    <w:qFormat/>
    <w:uiPriority w:val="0"/>
    <w:rPr>
      <w:rFonts w:ascii="Arial" w:hAnsi="Arial" w:eastAsia="黑体"/>
      <w:b/>
      <w:kern w:val="2"/>
      <w:sz w:val="28"/>
      <w:szCs w:val="24"/>
    </w:rPr>
  </w:style>
  <w:style w:type="character" w:customStyle="1" w:styleId="74">
    <w:name w:val="标题 5 Char"/>
    <w:basedOn w:val="58"/>
    <w:link w:val="6"/>
    <w:qFormat/>
    <w:uiPriority w:val="0"/>
    <w:rPr>
      <w:b/>
      <w:kern w:val="2"/>
      <w:sz w:val="28"/>
      <w:szCs w:val="24"/>
    </w:rPr>
  </w:style>
  <w:style w:type="character" w:customStyle="1" w:styleId="75">
    <w:name w:val="标题 6 Char"/>
    <w:basedOn w:val="58"/>
    <w:link w:val="7"/>
    <w:qFormat/>
    <w:uiPriority w:val="0"/>
    <w:rPr>
      <w:rFonts w:ascii="Arial" w:hAnsi="Arial" w:eastAsia="黑体"/>
      <w:b/>
      <w:kern w:val="2"/>
      <w:sz w:val="24"/>
      <w:szCs w:val="24"/>
    </w:rPr>
  </w:style>
  <w:style w:type="character" w:customStyle="1" w:styleId="76">
    <w:name w:val="标题 7 Char"/>
    <w:basedOn w:val="58"/>
    <w:link w:val="8"/>
    <w:qFormat/>
    <w:uiPriority w:val="0"/>
    <w:rPr>
      <w:b/>
      <w:kern w:val="2"/>
      <w:sz w:val="24"/>
      <w:szCs w:val="24"/>
    </w:rPr>
  </w:style>
  <w:style w:type="character" w:customStyle="1" w:styleId="77">
    <w:name w:val="标题 8 Char"/>
    <w:basedOn w:val="58"/>
    <w:link w:val="9"/>
    <w:qFormat/>
    <w:uiPriority w:val="0"/>
    <w:rPr>
      <w:rFonts w:ascii="Arial" w:hAnsi="Arial" w:eastAsia="黑体"/>
      <w:kern w:val="2"/>
      <w:sz w:val="24"/>
      <w:szCs w:val="24"/>
    </w:rPr>
  </w:style>
  <w:style w:type="character" w:customStyle="1" w:styleId="78">
    <w:name w:val="标题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页眉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批注文字 Char1"/>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尾注文本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 w:type="character" w:customStyle="1" w:styleId="283">
    <w:name w:val="apple-converted-space"/>
    <w:qFormat/>
    <w:uiPriority w:val="0"/>
  </w:style>
  <w:style w:type="paragraph" w:customStyle="1" w:styleId="284">
    <w:name w:val="00 BodyText"/>
    <w:basedOn w:val="1"/>
    <w:qFormat/>
    <w:uiPriority w:val="0"/>
    <w:pPr>
      <w:spacing w:after="220"/>
    </w:pPr>
    <w:rPr>
      <w:rFonts w:ascii="Arial" w:hAnsi="Arial"/>
      <w:sz w:val="22"/>
      <w:lang w:eastAsia="en-US"/>
    </w:rPr>
  </w:style>
  <w:style w:type="paragraph" w:customStyle="1" w:styleId="285">
    <w:name w:val="x_msonormal"/>
    <w:basedOn w:val="1"/>
    <w:qFormat/>
    <w:uiPriority w:val="99"/>
    <w:rPr>
      <w:rFonts w:ascii="Calibri" w:hAnsi="Calibri" w:eastAsia="Calibri" w:cs="Calibri"/>
      <w:sz w:val="22"/>
      <w:szCs w:val="22"/>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CB6D12-79AF-4623-845D-1028FDCE8310}">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1</Pages>
  <Words>941</Words>
  <Characters>5364</Characters>
  <Lines>44</Lines>
  <Paragraphs>12</Paragraphs>
  <TotalTime>2</TotalTime>
  <ScaleCrop>false</ScaleCrop>
  <LinksUpToDate>false</LinksUpToDate>
  <CharactersWithSpaces>6293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2020-10-21T08:44:00Z</dcterms:created>
  <dc:creator>10033860</dc:creator>
  <cp:lastModifiedBy>ZTE DF</cp:lastModifiedBy>
  <cp:lastPrinted>2113-01-01T00:00:00Z</cp:lastPrinted>
  <dcterms:modified xsi:type="dcterms:W3CDTF">2021-10-22T02:39:53Z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